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26-118</w:t>
      </w:r>
    </w:p>
    <w:p>
      <w:pPr>
        <w:spacing w:before="0" w:after="0" w:line="480"/>
        <w:ind w:left="120"/>
        <w:jc w:val="left"/>
      </w:pPr>
    </w:p>
    <w:p>
      <w:pPr>
        <w:spacing w:before="0" w:after="0" w:line="480"/>
        <w:ind w:left="120"/>
        <w:jc w:val="center"/>
      </w:pPr>
      <w:r>
        <w:rPr>
          <w:rFonts w:ascii="Times New Roman" w:hAnsi="Times New Roman"/>
          <w:b/>
          <w:i w:val="false"/>
          <w:color w:val="000000"/>
          <w:sz w:val="28"/>
        </w:rPr>
        <w:t>COMMUNICATIONS NETWORK, IOWA[751]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751—Chapters 13 and 15</w:t>
      </w:r>
    </w:p>
    <w:p>
      <w:pPr>
        <w:spacing w:before="0" w:after="0" w:line="480"/>
        <w:ind w:left="120"/>
        <w:jc w:val="center"/>
      </w:pPr>
      <w:r>
        <w:rPr>
          <w:rFonts w:ascii="Times New Roman" w:hAnsi="Times New Roman"/>
          <w:b w:val="false"/>
          <w:i w:val="false"/>
          <w:color w:val="000000"/>
          <w:sz w:val="24"/>
        </w:rPr>
        <w:t>“Site Charges and Other Fees; Advisory Councils, Committees and Groups”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8D</w:t>
      </w:r>
    </w:p>
    <w:p>
      <w:pPr>
        <w:spacing w:before="0" w:after="0" w:line="480"/>
        <w:ind w:left="120"/>
        <w:jc w:val="both"/>
      </w:pPr>
      <w:r>
        <w:rPr>
          <w:rFonts w:ascii="Times New Roman" w:hAnsi="Times New Roman"/>
          <w:b w:val="false"/>
          <w:i w:val="false"/>
          <w:color w:val="000000"/>
          <w:sz w:val="24"/>
        </w:rPr>
        <w:t>State or federal law(s) implemented by the rulemaking: 2024 Iowa Acts, Senate File 2370</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15, 2026</w:t>
            </w:r>
            <w:r>
              <w:br/>
            </w:r>
            <w:r>
              <w:rPr>
                <w:rFonts w:ascii="Times New Roman" w:hAnsi="Times New Roman"/>
                <w:b w:val="false"/>
                <w:i w:val="false"/>
                <w:color w:val="000000"/>
                <w:sz w:val="14"/>
              </w:rPr>
              <w:t>1 to 2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ICN Director’s Conference Room</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Iowa Communications Network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Lori Larsen</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515.725.4713</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lori.larsen@icn.state.ia.us</w:t>
              </w:r>
            </w:hyperlink>
            <w:r>
              <w:rPr>
                <w:rFonts w:ascii="Times New Roman" w:hAnsi="Times New Roman"/>
                <w:b w:val="false"/>
                <w:i w:val="false"/>
                <w:color w:val="000000"/>
                <w:sz w:val="14"/>
              </w:rPr>
              <w:t xml:space="preserve"> or </w:t>
            </w:r>
            <w:hyperlink r:id="rId5">
              <w:r>
                <w:rPr>
                  <w:rStyle w:val="Hyperlink"/>
                  <w:rFonts w:ascii="Times New Roman" w:hAnsi="Times New Roman"/>
                  <w:b w:val="false"/>
                  <w:i w:val="false"/>
                  <w:color w:val="0000ff"/>
                  <w:sz w:val="14"/>
                </w:rPr>
                <w:t>lori.larsen@iowa.gov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Iowa Communications Network proposes to rescind Chapter 13 (“Site Charges and Other Fees”) and Chapter 15 (“Advisory Councils, Committees and Groups”), which will eliminate language that is obsolete.</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is no direct cost associated with the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All individuals within the State benefit from a well-run and organized State communications network.</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quantitative impact; the rescissions remove obsolete organizational language that no longer reflects current agency operations.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qualitative impact is positive; the rulemaking simplifies the regulatory environment by removing obsolete language.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costs to the State or the agency associated with this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are no anticipated effects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This rulemaking ensures the agency removes obsolete language and has no costs associated with it.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agency seeks to remove obsolete language from the rules in a minimally intrusive and minimally prescriptive manner, while still fulfilling the responsibilities of maintaining a well-run State communications network.</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other methods were considered because the proposed rulemaking is necessary to comply with the Executive Order 10 mandate to streamline and modernize existing rules.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expected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751—Chapter 13</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751—Chapter 15</w:t>
      </w:r>
      <w:r>
        <w:rPr>
          <w:rFonts w:ascii="Times New Roman" w:hAnsi="Times New Roman"/>
          <w:b w:val="false"/>
          <w:i w:val="false"/>
          <w:color w:val="000000"/>
          <w:sz w:val="24"/>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ori.larsen@icn.state.ia.us" Type="http://schemas.openxmlformats.org/officeDocument/2006/relationships/hyperlink" Id="rId4"/>
    <Relationship TargetMode="External" Target="mailto:lori.larsen@iowa.gov"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